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C1" w:rsidRPr="00733AC1" w:rsidRDefault="00733AC1" w:rsidP="00733AC1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AC1">
        <w:rPr>
          <w:rFonts w:ascii="Times New Roman" w:hAnsi="Times New Roman" w:cs="Times New Roman"/>
          <w:b/>
          <w:sz w:val="28"/>
          <w:szCs w:val="28"/>
          <w:u w:val="single"/>
        </w:rPr>
        <w:t>Анализ нарушений, выявляемых при проведении проверок в процессе строительства (реконструкции) автомобильных дорог и транспортных развязок</w:t>
      </w:r>
    </w:p>
    <w:p w:rsidR="00733AC1" w:rsidRPr="00733AC1" w:rsidRDefault="00733AC1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Cs/>
          <w:sz w:val="28"/>
          <w:szCs w:val="28"/>
        </w:rPr>
        <w:t>Отдел осуществляет ГСН на территории: г. Красноярска и Центральной группы районов, при строительстве, реконструкции следующих основных категорий объектов (проектная документация которых подлежит экспертизе):</w:t>
      </w:r>
    </w:p>
    <w:p w:rsidR="00000000" w:rsidRPr="00733AC1" w:rsidRDefault="00BE75DC" w:rsidP="00733A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Cs/>
          <w:sz w:val="28"/>
          <w:szCs w:val="28"/>
        </w:rPr>
        <w:t>автомобильные дороги и входящие в их состав инженерно-технические сооружения;</w:t>
      </w:r>
    </w:p>
    <w:p w:rsidR="00000000" w:rsidRPr="00733AC1" w:rsidRDefault="00BE75DC" w:rsidP="00733A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Cs/>
          <w:sz w:val="28"/>
          <w:szCs w:val="28"/>
        </w:rPr>
        <w:t>объекты административно-бытового назначения;</w:t>
      </w:r>
    </w:p>
    <w:p w:rsidR="00000000" w:rsidRPr="00733AC1" w:rsidRDefault="00BE75DC" w:rsidP="00733A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AC1">
        <w:rPr>
          <w:rFonts w:ascii="Times New Roman" w:hAnsi="Times New Roman" w:cs="Times New Roman"/>
          <w:bCs/>
          <w:sz w:val="28"/>
          <w:szCs w:val="28"/>
        </w:rPr>
        <w:t>объекты производственного и промышленного назначения;</w:t>
      </w:r>
    </w:p>
    <w:p w:rsidR="00733AC1" w:rsidRPr="00733AC1" w:rsidRDefault="00733AC1" w:rsidP="00733AC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3AC1">
        <w:rPr>
          <w:rFonts w:ascii="Times New Roman" w:hAnsi="Times New Roman" w:cs="Times New Roman"/>
          <w:iCs/>
          <w:sz w:val="28"/>
          <w:szCs w:val="28"/>
        </w:rPr>
        <w:t xml:space="preserve">В Центральную группу районов входят города спутники г. Красноярска, а именно: г. Дивногорск, г. Железногорск, г. Сосновоборск, а также близлежащие районные территории (Емельяновский, Березовский, Манский, Балахтинский районы и </w:t>
      </w:r>
      <w:proofErr w:type="spellStart"/>
      <w:r w:rsidRPr="00733AC1">
        <w:rPr>
          <w:rFonts w:ascii="Times New Roman" w:hAnsi="Times New Roman" w:cs="Times New Roman"/>
          <w:iCs/>
          <w:sz w:val="28"/>
          <w:szCs w:val="28"/>
        </w:rPr>
        <w:t>тд</w:t>
      </w:r>
      <w:proofErr w:type="spellEnd"/>
      <w:r w:rsidRPr="00733AC1">
        <w:rPr>
          <w:rFonts w:ascii="Times New Roman" w:hAnsi="Times New Roman" w:cs="Times New Roman"/>
          <w:iCs/>
          <w:sz w:val="28"/>
          <w:szCs w:val="28"/>
        </w:rPr>
        <w:t>.). В случае если планируемый к строительству (реконструкции) объект значительно удален от г. Красноярска, то там государственный строительный надзор осуществляют ближайшие территориальные подразделения Службы: ТП ЮГ расположенное в г. Минусинске, ТП Запад расположенное в г. Ачинске, ТП Восток расположенное в г. Канске, ТП Север расположенное в г. Лесосибирске и г. Норильске.</w:t>
      </w:r>
    </w:p>
    <w:p w:rsidR="00733AC1" w:rsidRPr="00733AC1" w:rsidRDefault="00733AC1" w:rsidP="00733A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2016г отделом осуществлялся государственный строительный надзор при строительстве (реконструкции) 345 объектов </w:t>
      </w:r>
    </w:p>
    <w:p w:rsidR="00733AC1" w:rsidRDefault="00733AC1" w:rsidP="00733AC1">
      <w:pPr>
        <w:ind w:firstLine="142"/>
      </w:pPr>
      <w:r w:rsidRPr="00733AC1">
        <w:drawing>
          <wp:inline distT="0" distB="0" distL="0" distR="0" wp14:anchorId="22A23721" wp14:editId="4429A197">
            <wp:extent cx="6152515" cy="2731770"/>
            <wp:effectExtent l="0" t="0" r="1968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3AC1" w:rsidRDefault="00733AC1" w:rsidP="0073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5A2" w:rsidRDefault="00733AC1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</w:t>
      </w:r>
      <w:r w:rsidRPr="00733AC1">
        <w:rPr>
          <w:rFonts w:ascii="Times New Roman" w:hAnsi="Times New Roman" w:cs="Times New Roman"/>
          <w:sz w:val="28"/>
          <w:szCs w:val="28"/>
        </w:rPr>
        <w:t>сновные категории объектов</w:t>
      </w:r>
      <w:r>
        <w:rPr>
          <w:rFonts w:ascii="Times New Roman" w:hAnsi="Times New Roman" w:cs="Times New Roman"/>
          <w:sz w:val="28"/>
          <w:szCs w:val="28"/>
        </w:rPr>
        <w:t xml:space="preserve"> отдела ДПО</w:t>
      </w:r>
      <w:r w:rsidRPr="00733AC1">
        <w:rPr>
          <w:rFonts w:ascii="Times New Roman" w:hAnsi="Times New Roman" w:cs="Times New Roman"/>
          <w:sz w:val="28"/>
          <w:szCs w:val="28"/>
        </w:rPr>
        <w:t xml:space="preserve"> в процентном соотношении отображены на сайте Службы </w:t>
      </w:r>
      <w:r w:rsidRPr="00733AC1">
        <w:rPr>
          <w:rFonts w:ascii="Times New Roman" w:hAnsi="Times New Roman" w:cs="Times New Roman"/>
          <w:b/>
          <w:sz w:val="28"/>
          <w:szCs w:val="28"/>
          <w:u w:val="single"/>
        </w:rPr>
        <w:t>http://www.krasnadzor.ru</w:t>
      </w:r>
      <w:r w:rsidRPr="00733AC1">
        <w:rPr>
          <w:rFonts w:ascii="Times New Roman" w:hAnsi="Times New Roman" w:cs="Times New Roman"/>
          <w:sz w:val="28"/>
          <w:szCs w:val="28"/>
        </w:rPr>
        <w:t xml:space="preserve"> в разделе «Гражданское и промышленное строительство».</w:t>
      </w:r>
    </w:p>
    <w:p w:rsidR="00733AC1" w:rsidRPr="00730CCF" w:rsidRDefault="00AA474D" w:rsidP="00733A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C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Где 23 объекта (7%) – являлись автомобильными дорогами, транспортными развязками.</w:t>
      </w:r>
    </w:p>
    <w:p w:rsidR="00AA474D" w:rsidRDefault="00AA474D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в 2016г </w:t>
      </w:r>
      <w:r w:rsidR="00730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CF">
        <w:rPr>
          <w:rFonts w:ascii="Times New Roman" w:hAnsi="Times New Roman" w:cs="Times New Roman"/>
          <w:sz w:val="28"/>
          <w:szCs w:val="28"/>
        </w:rPr>
        <w:t>23 автомобильные дороги;</w:t>
      </w:r>
    </w:p>
    <w:p w:rsidR="00730CCF" w:rsidRDefault="00730CCF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2015г – 11 автомобильных дорог;</w:t>
      </w:r>
    </w:p>
    <w:p w:rsidR="00730CCF" w:rsidRDefault="00730CCF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2014г – 14 автомобильных дорог;</w:t>
      </w:r>
    </w:p>
    <w:p w:rsidR="00730CCF" w:rsidRPr="00730CCF" w:rsidRDefault="00730CCF" w:rsidP="00730C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Также за 2016г отделом по объектам строительства (реконструкции) автомобильных дорог: </w:t>
      </w:r>
    </w:p>
    <w:p w:rsidR="00000000" w:rsidRPr="00730CCF" w:rsidRDefault="00730CCF" w:rsidP="00730C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 xml:space="preserve">проведено 66 проверок; </w:t>
      </w:r>
    </w:p>
    <w:p w:rsidR="00000000" w:rsidRPr="00730CCF" w:rsidRDefault="00730CCF" w:rsidP="00730C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>выявлено 127 нарушений;</w:t>
      </w:r>
    </w:p>
    <w:p w:rsidR="00000000" w:rsidRPr="00730CCF" w:rsidRDefault="00730CCF" w:rsidP="00730C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>выдано 32 предписания;</w:t>
      </w:r>
    </w:p>
    <w:p w:rsidR="00000000" w:rsidRPr="00730CCF" w:rsidRDefault="00730CCF" w:rsidP="00730C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-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 xml:space="preserve">возбуждено 8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 (4 по ч. 6 ст. 19.5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 xml:space="preserve">КоАП РФ, </w:t>
      </w:r>
      <w:r w:rsidR="00BE75DC" w:rsidRPr="00730CCF">
        <w:rPr>
          <w:rFonts w:ascii="Times New Roman" w:hAnsi="Times New Roman" w:cs="Times New Roman"/>
          <w:bCs/>
          <w:sz w:val="28"/>
          <w:szCs w:val="28"/>
        </w:rPr>
        <w:t>2 по ч. 1 ст. 9.4 КоАП РФ и 2 по ч. 3 ст. 9.5 КоАП РФ)</w:t>
      </w:r>
    </w:p>
    <w:p w:rsidR="00AA474D" w:rsidRPr="00730CCF" w:rsidRDefault="00730CCF" w:rsidP="00733A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CCF">
        <w:rPr>
          <w:rFonts w:ascii="Times New Roman" w:hAnsi="Times New Roman" w:cs="Times New Roman"/>
          <w:b/>
          <w:sz w:val="28"/>
          <w:szCs w:val="28"/>
          <w:u w:val="single"/>
        </w:rPr>
        <w:t>Характер выявляемых нарушений:</w:t>
      </w:r>
    </w:p>
    <w:p w:rsidR="00AA474D" w:rsidRDefault="00730CCF" w:rsidP="00733AC1">
      <w:p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5D84AE" wp14:editId="38B7FAE7">
            <wp:extent cx="6676961" cy="2215426"/>
            <wp:effectExtent l="0" t="0" r="1016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474D" w:rsidRDefault="00730CCF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sz w:val="28"/>
          <w:szCs w:val="28"/>
        </w:rPr>
        <w:t>Вместо бетонной обоймы бортового камня выполнено набрасывание бетонной смеси. При наезде транспорта на конструкцию, такой бортовой камень не выдержит нагрузки и отойдет от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730CCF" w:rsidRDefault="00BE75DC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Устройство асфальтобетонного покрытия на не подготовленн</w:t>
      </w:r>
      <w:r w:rsidRPr="00730CCF">
        <w:rPr>
          <w:rFonts w:ascii="Times New Roman" w:hAnsi="Times New Roman" w:cs="Times New Roman"/>
          <w:bCs/>
          <w:sz w:val="28"/>
          <w:szCs w:val="28"/>
        </w:rPr>
        <w:t>ом основании</w:t>
      </w:r>
      <w:r w:rsidR="00730CCF">
        <w:rPr>
          <w:rFonts w:ascii="Times New Roman" w:hAnsi="Times New Roman" w:cs="Times New Roman"/>
          <w:bCs/>
          <w:sz w:val="28"/>
          <w:szCs w:val="28"/>
        </w:rPr>
        <w:t>;</w:t>
      </w:r>
    </w:p>
    <w:p w:rsidR="00730CCF" w:rsidRPr="00730CCF" w:rsidRDefault="00730CCF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Устройство асфальтобетонного покрытия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отрицательной температуре;</w:t>
      </w:r>
    </w:p>
    <w:p w:rsidR="00730CCF" w:rsidRDefault="00730CCF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sz w:val="28"/>
          <w:szCs w:val="28"/>
        </w:rPr>
        <w:t>Не достаточное уплотнение земляного полотна под дорожной одеждой привело к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трещины с раскрытием до 3-4 см;</w:t>
      </w:r>
    </w:p>
    <w:p w:rsidR="00730CCF" w:rsidRDefault="00730CCF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sz w:val="28"/>
          <w:szCs w:val="28"/>
        </w:rPr>
        <w:t>Укладка асфальтобетонной смеси на переувлажненное основание. В случае если основание переувлажнено достаточно сильно, возможны в дальнейшем просадки дорожной одежды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CCF" w:rsidRPr="00730CCF" w:rsidRDefault="00730CCF" w:rsidP="00730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sz w:val="28"/>
          <w:szCs w:val="28"/>
        </w:rPr>
        <w:t xml:space="preserve">Нарушения технологических процессов при устройстве конструктивных слоев асфальтовых дорожных покрытий (а именно: не полная обработка (либо </w:t>
      </w:r>
      <w:r w:rsidRPr="00730CCF">
        <w:rPr>
          <w:rFonts w:ascii="Times New Roman" w:hAnsi="Times New Roman" w:cs="Times New Roman"/>
          <w:sz w:val="28"/>
          <w:szCs w:val="28"/>
        </w:rPr>
        <w:lastRenderedPageBreak/>
        <w:t>отсутствие) вяжущими материалами нижележащих слоев дорожных покрытий при устройстве вышележащих слоев).</w:t>
      </w:r>
    </w:p>
    <w:p w:rsidR="00730CCF" w:rsidRPr="00730CCF" w:rsidRDefault="00730CCF" w:rsidP="00730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CCF" w:rsidRPr="00730CCF" w:rsidRDefault="00730CCF" w:rsidP="00730C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CC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количество заключений выданных отделом за 2016г – 101 заключение, где 13 заключений было выдано на автомобильные дороги, такие как: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 xml:space="preserve">Реконструкция пр. Свободный от ул. Ладо </w:t>
      </w:r>
      <w:proofErr w:type="spellStart"/>
      <w:r w:rsidRPr="00730CCF">
        <w:rPr>
          <w:rFonts w:ascii="Times New Roman" w:hAnsi="Times New Roman" w:cs="Times New Roman"/>
          <w:bCs/>
          <w:sz w:val="28"/>
          <w:szCs w:val="28"/>
        </w:rPr>
        <w:t>Кецховели</w:t>
      </w:r>
      <w:proofErr w:type="spellEnd"/>
      <w:r w:rsidRPr="00730CCF">
        <w:rPr>
          <w:rFonts w:ascii="Times New Roman" w:hAnsi="Times New Roman" w:cs="Times New Roman"/>
          <w:bCs/>
          <w:sz w:val="28"/>
          <w:szCs w:val="28"/>
        </w:rPr>
        <w:t xml:space="preserve"> до ул. </w:t>
      </w:r>
      <w:proofErr w:type="spellStart"/>
      <w:r w:rsidRPr="00730CCF">
        <w:rPr>
          <w:rFonts w:ascii="Times New Roman" w:hAnsi="Times New Roman" w:cs="Times New Roman"/>
          <w:bCs/>
          <w:sz w:val="28"/>
          <w:szCs w:val="28"/>
        </w:rPr>
        <w:t>Маерчака</w:t>
      </w:r>
      <w:proofErr w:type="spellEnd"/>
      <w:r w:rsidRPr="00730CC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 xml:space="preserve">Реконструкция автодороги по ул. </w:t>
      </w:r>
      <w:r w:rsidRPr="00730CCF">
        <w:rPr>
          <w:rFonts w:ascii="Times New Roman" w:hAnsi="Times New Roman" w:cs="Times New Roman"/>
          <w:bCs/>
          <w:sz w:val="28"/>
          <w:szCs w:val="28"/>
        </w:rPr>
        <w:t>Дубровинского от развязки в районе 4-го мостового перехода через р. Енисей до Регистрационной палаты в г. Красноярске;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Автодорога по ул. Мужества от ул. Чернышевского до ул. Шевцовой;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Реконструкция ул. 2-я Брянская до ул. Калинина в г. Красноярске (2-я о</w:t>
      </w:r>
      <w:r w:rsidRPr="00730CCF">
        <w:rPr>
          <w:rFonts w:ascii="Times New Roman" w:hAnsi="Times New Roman" w:cs="Times New Roman"/>
          <w:bCs/>
          <w:sz w:val="28"/>
          <w:szCs w:val="28"/>
        </w:rPr>
        <w:t>чередь)</w:t>
      </w:r>
      <w:r w:rsidRPr="00730CC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Строительство автодороги в микрорайоне «Слобода Весны»;</w:t>
      </w:r>
    </w:p>
    <w:p w:rsidR="00000000" w:rsidRPr="00730CCF" w:rsidRDefault="00BE75DC" w:rsidP="00730C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>Автодорога в микрорайоне «Утиный плес» I пусковой комплекс;</w:t>
      </w:r>
    </w:p>
    <w:p w:rsidR="00730CCF" w:rsidRPr="00BE75DC" w:rsidRDefault="00BE75DC" w:rsidP="00733A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CF">
        <w:rPr>
          <w:rFonts w:ascii="Times New Roman" w:hAnsi="Times New Roman" w:cs="Times New Roman"/>
          <w:bCs/>
          <w:sz w:val="28"/>
          <w:szCs w:val="28"/>
        </w:rPr>
        <w:t xml:space="preserve">Реконструкция автомобильной дороги Красноярск-Железногорск на участке ПК 135 - ПК 172 в Березовском районе. </w:t>
      </w:r>
    </w:p>
    <w:p w:rsidR="00AA474D" w:rsidRPr="00BE75DC" w:rsidRDefault="00AA474D" w:rsidP="00AA47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5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2017г – 17 автомобильных дорог (где 8 – Сузун, </w:t>
      </w:r>
      <w:proofErr w:type="spellStart"/>
      <w:r w:rsidRPr="00BE75DC">
        <w:rPr>
          <w:rFonts w:ascii="Times New Roman" w:hAnsi="Times New Roman" w:cs="Times New Roman"/>
          <w:b/>
          <w:sz w:val="28"/>
          <w:szCs w:val="28"/>
          <w:u w:val="single"/>
        </w:rPr>
        <w:t>Ванкор</w:t>
      </w:r>
      <w:proofErr w:type="spellEnd"/>
      <w:r w:rsidRPr="00BE75DC">
        <w:rPr>
          <w:rFonts w:ascii="Times New Roman" w:hAnsi="Times New Roman" w:cs="Times New Roman"/>
          <w:b/>
          <w:sz w:val="28"/>
          <w:szCs w:val="28"/>
          <w:u w:val="single"/>
        </w:rPr>
        <w:t xml:space="preserve">; 2 – в г. Железногорске, 1 – в г. Сосновоборске, 3 – в г. Дивногорске, 1 – в </w:t>
      </w:r>
      <w:proofErr w:type="spellStart"/>
      <w:r w:rsidRPr="00BE75DC">
        <w:rPr>
          <w:rFonts w:ascii="Times New Roman" w:hAnsi="Times New Roman" w:cs="Times New Roman"/>
          <w:b/>
          <w:sz w:val="28"/>
          <w:szCs w:val="28"/>
          <w:u w:val="single"/>
        </w:rPr>
        <w:t>Манском</w:t>
      </w:r>
      <w:proofErr w:type="spellEnd"/>
      <w:r w:rsidRPr="00BE75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районе, 2 – в г. Красноярске).</w:t>
      </w:r>
    </w:p>
    <w:p w:rsidR="00AA474D" w:rsidRPr="00AA474D" w:rsidRDefault="00BE75DC" w:rsidP="00AA474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AA474D" w:rsidRPr="00BE75DC">
        <w:rPr>
          <w:rFonts w:ascii="Times New Roman" w:hAnsi="Times New Roman" w:cs="Times New Roman"/>
          <w:sz w:val="28"/>
          <w:szCs w:val="28"/>
          <w:u w:val="single"/>
        </w:rPr>
        <w:t xml:space="preserve">Сузун, </w:t>
      </w:r>
      <w:proofErr w:type="spellStart"/>
      <w:r w:rsidR="00AA474D" w:rsidRPr="00BE75DC">
        <w:rPr>
          <w:rFonts w:ascii="Times New Roman" w:hAnsi="Times New Roman" w:cs="Times New Roman"/>
          <w:sz w:val="28"/>
          <w:szCs w:val="28"/>
          <w:u w:val="single"/>
        </w:rPr>
        <w:t>Ванкор</w:t>
      </w:r>
      <w:proofErr w:type="spellEnd"/>
      <w:r w:rsidR="00AA474D" w:rsidRPr="00AA474D">
        <w:rPr>
          <w:rFonts w:ascii="Times New Roman" w:hAnsi="Times New Roman" w:cs="Times New Roman"/>
          <w:sz w:val="28"/>
          <w:szCs w:val="28"/>
        </w:rPr>
        <w:t>: к площадкам кустов скважин</w:t>
      </w:r>
      <w:r>
        <w:rPr>
          <w:rFonts w:ascii="Times New Roman" w:hAnsi="Times New Roman" w:cs="Times New Roman"/>
          <w:sz w:val="28"/>
          <w:szCs w:val="28"/>
        </w:rPr>
        <w:t>; к площадкам узлов СОД</w:t>
      </w:r>
      <w:r w:rsidR="00AA474D" w:rsidRPr="00AA47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474D" w:rsidRPr="00AA474D" w:rsidRDefault="00AA474D" w:rsidP="00AA474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DC">
        <w:rPr>
          <w:rFonts w:ascii="Times New Roman" w:hAnsi="Times New Roman" w:cs="Times New Roman"/>
          <w:sz w:val="28"/>
          <w:szCs w:val="28"/>
          <w:u w:val="single"/>
        </w:rPr>
        <w:t>в г. Железногорске</w:t>
      </w:r>
      <w:r w:rsidRPr="00AA474D">
        <w:rPr>
          <w:rFonts w:ascii="Times New Roman" w:hAnsi="Times New Roman" w:cs="Times New Roman"/>
          <w:sz w:val="28"/>
          <w:szCs w:val="28"/>
        </w:rPr>
        <w:t xml:space="preserve">: «Строительство </w:t>
      </w:r>
      <w:bookmarkStart w:id="0" w:name="_GoBack"/>
      <w:bookmarkEnd w:id="0"/>
      <w:r w:rsidRPr="00AA474D">
        <w:rPr>
          <w:rFonts w:ascii="Times New Roman" w:hAnsi="Times New Roman" w:cs="Times New Roman"/>
          <w:sz w:val="28"/>
          <w:szCs w:val="28"/>
        </w:rPr>
        <w:t>проездов в районе ул. Дачная, ул. Челюскинцев», «Проезд от ул. Восточная до ул. Молодежная»;</w:t>
      </w:r>
    </w:p>
    <w:p w:rsidR="00AA474D" w:rsidRPr="00AA474D" w:rsidRDefault="00AA474D" w:rsidP="00AA474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DC">
        <w:rPr>
          <w:rFonts w:ascii="Times New Roman" w:hAnsi="Times New Roman" w:cs="Times New Roman"/>
          <w:sz w:val="28"/>
          <w:szCs w:val="28"/>
          <w:u w:val="single"/>
        </w:rPr>
        <w:t>в г. Сосновоборске</w:t>
      </w:r>
      <w:r w:rsidRPr="00AA474D">
        <w:rPr>
          <w:rFonts w:ascii="Times New Roman" w:hAnsi="Times New Roman" w:cs="Times New Roman"/>
          <w:sz w:val="28"/>
          <w:szCs w:val="28"/>
        </w:rPr>
        <w:t xml:space="preserve">: «Строительство дороги по ул. Юности (II очередь </w:t>
      </w:r>
      <w:proofErr w:type="spellStart"/>
      <w:proofErr w:type="gramStart"/>
      <w:r w:rsidRPr="00AA474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A474D">
        <w:rPr>
          <w:rFonts w:ascii="Times New Roman" w:hAnsi="Times New Roman" w:cs="Times New Roman"/>
          <w:sz w:val="28"/>
          <w:szCs w:val="28"/>
        </w:rPr>
        <w:t xml:space="preserve"> Весенняя);</w:t>
      </w:r>
    </w:p>
    <w:p w:rsidR="00AA474D" w:rsidRPr="00AA474D" w:rsidRDefault="00AA474D" w:rsidP="00AA474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DC">
        <w:rPr>
          <w:rFonts w:ascii="Times New Roman" w:hAnsi="Times New Roman" w:cs="Times New Roman"/>
          <w:sz w:val="28"/>
          <w:szCs w:val="28"/>
          <w:u w:val="single"/>
        </w:rPr>
        <w:t>в г. Дивногорске</w:t>
      </w:r>
      <w:r w:rsidRPr="00AA474D">
        <w:rPr>
          <w:rFonts w:ascii="Times New Roman" w:hAnsi="Times New Roman" w:cs="Times New Roman"/>
          <w:sz w:val="28"/>
          <w:szCs w:val="28"/>
        </w:rPr>
        <w:t>: автомобильная дорога, причальная зона и подъездная дорога объекта «Спортивно-оздоровительный комплекс ЗАО «Ванкорнефть»;</w:t>
      </w:r>
    </w:p>
    <w:p w:rsidR="00AA474D" w:rsidRPr="00AA474D" w:rsidRDefault="00AA474D" w:rsidP="00AA474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74D">
        <w:rPr>
          <w:rFonts w:ascii="Times New Roman" w:hAnsi="Times New Roman" w:cs="Times New Roman"/>
          <w:sz w:val="28"/>
          <w:szCs w:val="28"/>
        </w:rPr>
        <w:t xml:space="preserve">в Манском районе: «Организация подъезда к земельному участку </w:t>
      </w:r>
      <w:r w:rsidR="00BE75DC">
        <w:rPr>
          <w:rFonts w:ascii="Times New Roman" w:hAnsi="Times New Roman" w:cs="Times New Roman"/>
          <w:sz w:val="28"/>
          <w:szCs w:val="28"/>
        </w:rPr>
        <w:t>с. Шалинское</w:t>
      </w:r>
      <w:r w:rsidRPr="00AA474D">
        <w:rPr>
          <w:rFonts w:ascii="Times New Roman" w:hAnsi="Times New Roman" w:cs="Times New Roman"/>
          <w:sz w:val="28"/>
          <w:szCs w:val="28"/>
        </w:rPr>
        <w:t>»;</w:t>
      </w:r>
    </w:p>
    <w:p w:rsidR="00AA474D" w:rsidRPr="00AA474D" w:rsidRDefault="00AA474D" w:rsidP="00AA47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DC">
        <w:rPr>
          <w:rFonts w:ascii="Times New Roman" w:hAnsi="Times New Roman" w:cs="Times New Roman"/>
          <w:sz w:val="28"/>
          <w:szCs w:val="28"/>
          <w:u w:val="single"/>
        </w:rPr>
        <w:t>в г. Красноярске</w:t>
      </w:r>
      <w:r w:rsidRPr="00AA474D">
        <w:rPr>
          <w:rFonts w:ascii="Times New Roman" w:hAnsi="Times New Roman" w:cs="Times New Roman"/>
          <w:sz w:val="28"/>
          <w:szCs w:val="28"/>
        </w:rPr>
        <w:t>: I</w:t>
      </w:r>
      <w:r w:rsidRPr="00AA4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74D">
        <w:rPr>
          <w:rFonts w:ascii="Times New Roman" w:hAnsi="Times New Roman" w:cs="Times New Roman"/>
          <w:sz w:val="28"/>
          <w:szCs w:val="28"/>
        </w:rPr>
        <w:t xml:space="preserve"> этап: уч. от ул. Чернышевского до ул. Линейная объекта «Автодорога по ул. 4 Дальневосточная от ул. Шахтеров до Шевцовой»; «Строительство автодороги в створе ул. Волочаевская от ул. Дубровинского до ул. Копылова в г. Красноярске».</w:t>
      </w:r>
    </w:p>
    <w:sectPr w:rsidR="00AA474D" w:rsidRPr="00AA474D" w:rsidSect="00733AC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8B3"/>
    <w:multiLevelType w:val="hybridMultilevel"/>
    <w:tmpl w:val="4D8E91A8"/>
    <w:lvl w:ilvl="0" w:tplc="41CE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3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69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C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A6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48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4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E2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2E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12162A"/>
    <w:multiLevelType w:val="hybridMultilevel"/>
    <w:tmpl w:val="9AAE93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ADC7466"/>
    <w:multiLevelType w:val="hybridMultilevel"/>
    <w:tmpl w:val="D0C80E0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C8B5016"/>
    <w:multiLevelType w:val="hybridMultilevel"/>
    <w:tmpl w:val="3266BF9C"/>
    <w:lvl w:ilvl="0" w:tplc="50702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3C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CA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C2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88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27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63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0C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A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D08A2"/>
    <w:multiLevelType w:val="hybridMultilevel"/>
    <w:tmpl w:val="B552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7A4"/>
    <w:multiLevelType w:val="hybridMultilevel"/>
    <w:tmpl w:val="D0DA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4360"/>
    <w:multiLevelType w:val="hybridMultilevel"/>
    <w:tmpl w:val="703E7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4C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05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0C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0F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2A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E7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A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AE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E1C3C"/>
    <w:multiLevelType w:val="hybridMultilevel"/>
    <w:tmpl w:val="9B627E02"/>
    <w:lvl w:ilvl="0" w:tplc="7D687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0D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8C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B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8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8E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0B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55F2C"/>
    <w:multiLevelType w:val="hybridMultilevel"/>
    <w:tmpl w:val="BF4AEAAC"/>
    <w:lvl w:ilvl="0" w:tplc="5DC0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A9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EE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68A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68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46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000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2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A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A"/>
    <w:rsid w:val="00730CCF"/>
    <w:rsid w:val="00733AC1"/>
    <w:rsid w:val="009A15A2"/>
    <w:rsid w:val="00AA474D"/>
    <w:rsid w:val="00BE75DC"/>
    <w:rsid w:val="00C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772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2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4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4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8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2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95852795942882E-2"/>
          <c:y val="0.15346171120668922"/>
          <c:w val="0.77864148204991324"/>
          <c:h val="0.74258217426475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объекты находящиеся под надзором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0.25744062919970057"/>
                  <c:y val="7.47786361610459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5767676687175237E-2"/>
                  <c:y val="0.2022954065438188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административные, офисные </a:t>
                    </a:r>
                    <a:r>
                      <a:rPr lang="ru-RU" sz="1000" b="0" dirty="0">
                        <a:solidFill>
                          <a:schemeClr val="tx2"/>
                        </a:solidFill>
                      </a:rPr>
                      <a:t>и торговые </a:t>
                    </a:r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здания  </a:t>
                    </a:r>
                  </a:p>
                  <a:p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39%</a:t>
                    </a:r>
                    <a:endParaRPr lang="ru-RU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38120168169785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реконструкция нежилых помещений 10  %</a:t>
                    </a:r>
                    <a:endParaRPr lang="ru-RU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824558082820618E-2"/>
                  <c:y val="7.7459458550287255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>
                        <a:solidFill>
                          <a:schemeClr val="tx2"/>
                        </a:solidFill>
                      </a:rPr>
                      <a:t>объекты </a:t>
                    </a:r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производственного и промышленного назначения 30% </a:t>
                    </a:r>
                    <a:endParaRPr lang="ru-RU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7.6966632735546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3917004048582995E-2"/>
                  <c:y val="-0.21537151081625935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>
                        <a:solidFill>
                          <a:schemeClr val="tx2"/>
                        </a:solidFill>
                      </a:rPr>
                      <a:t>объекты медицины 4%</a:t>
                    </a:r>
                    <a:endParaRPr lang="ru-RU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1199201474386149"/>
                  <c:y val="-0.1577774476303669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>
                        <a:solidFill>
                          <a:schemeClr val="tx2"/>
                        </a:solidFill>
                      </a:rPr>
                      <a:t>объекты инженерного назначения 
11%</a:t>
                    </a:r>
                    <a:endParaRPr lang="ru-RU" dirty="0">
                      <a:solidFill>
                        <a:schemeClr val="tx2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404797767976598"/>
                  <c:y val="-6.98180062397860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2964162469316843"/>
                  <c:y val="-4.82318906047638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автомобильные дороги и сооружения на них</c:v>
                </c:pt>
                <c:pt idx="1">
                  <c:v>административные, офисные и торговые здания</c:v>
                </c:pt>
                <c:pt idx="2">
                  <c:v>реконструкция нежилых помещений</c:v>
                </c:pt>
                <c:pt idx="3">
                  <c:v>объекты производственного назначения </c:v>
                </c:pt>
                <c:pt idx="4">
                  <c:v>объекты спортивного назначения</c:v>
                </c:pt>
                <c:pt idx="5">
                  <c:v>объекты медицины</c:v>
                </c:pt>
                <c:pt idx="6">
                  <c:v>объекты инженерного назначения </c:v>
                </c:pt>
                <c:pt idx="7">
                  <c:v>иные объекты</c:v>
                </c:pt>
                <c:pt idx="8">
                  <c:v>объекты образования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</c:v>
                </c:pt>
                <c:pt idx="1">
                  <c:v>119</c:v>
                </c:pt>
                <c:pt idx="2">
                  <c:v>18</c:v>
                </c:pt>
                <c:pt idx="3">
                  <c:v>96</c:v>
                </c:pt>
                <c:pt idx="4">
                  <c:v>7</c:v>
                </c:pt>
                <c:pt idx="5">
                  <c:v>8</c:v>
                </c:pt>
                <c:pt idx="6">
                  <c:v>38</c:v>
                </c:pt>
                <c:pt idx="7">
                  <c:v>30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СМР</c:v>
                </c:pt>
                <c:pt idx="1">
                  <c:v>ОСП</c:v>
                </c:pt>
                <c:pt idx="2">
                  <c:v>проект</c:v>
                </c:pt>
                <c:pt idx="3">
                  <c:v>документация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32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СМР</c:v>
                </c:pt>
                <c:pt idx="1">
                  <c:v>ОСП</c:v>
                </c:pt>
                <c:pt idx="2">
                  <c:v>проект</c:v>
                </c:pt>
                <c:pt idx="3">
                  <c:v>документация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19</c:v>
                </c:pt>
                <c:pt idx="2">
                  <c:v>23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СМР</c:v>
                </c:pt>
                <c:pt idx="1">
                  <c:v>ОСП</c:v>
                </c:pt>
                <c:pt idx="2">
                  <c:v>проект</c:v>
                </c:pt>
                <c:pt idx="3">
                  <c:v>документация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56576"/>
        <c:axId val="93245440"/>
        <c:axId val="104597248"/>
      </c:bar3DChart>
      <c:catAx>
        <c:axId val="88056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3245440"/>
        <c:crosses val="autoZero"/>
        <c:auto val="1"/>
        <c:lblAlgn val="ctr"/>
        <c:lblOffset val="100"/>
        <c:noMultiLvlLbl val="0"/>
      </c:catAx>
      <c:valAx>
        <c:axId val="932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8056576"/>
        <c:crosses val="autoZero"/>
        <c:crossBetween val="between"/>
      </c:valAx>
      <c:serAx>
        <c:axId val="104597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3245440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edLineBusiness_16x9">
    <a:dk1>
      <a:srgbClr val="514A40"/>
    </a:dk1>
    <a:lt1>
      <a:sysClr val="window" lastClr="FFFFFF"/>
    </a:lt1>
    <a:dk2>
      <a:srgbClr val="000000"/>
    </a:dk2>
    <a:lt2>
      <a:srgbClr val="F9F7F3"/>
    </a:lt2>
    <a:accent1>
      <a:srgbClr val="A85229"/>
    </a:accent1>
    <a:accent2>
      <a:srgbClr val="98916E"/>
    </a:accent2>
    <a:accent3>
      <a:srgbClr val="C9A645"/>
    </a:accent3>
    <a:accent4>
      <a:srgbClr val="76A7B2"/>
    </a:accent4>
    <a:accent5>
      <a:srgbClr val="82A670"/>
    </a:accent5>
    <a:accent6>
      <a:srgbClr val="896170"/>
    </a:accent6>
    <a:hlink>
      <a:srgbClr val="A85229"/>
    </a:hlink>
    <a:folHlink>
      <a:srgbClr val="98916E"/>
    </a:folHlink>
  </a:clrScheme>
  <a:fontScheme name="Cambria">
    <a:majorFont>
      <a:latin typeface="Cambria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RedLineBusiness_16x9">
    <a:dk1>
      <a:srgbClr val="514A40"/>
    </a:dk1>
    <a:lt1>
      <a:sysClr val="window" lastClr="FFFFFF"/>
    </a:lt1>
    <a:dk2>
      <a:srgbClr val="000000"/>
    </a:dk2>
    <a:lt2>
      <a:srgbClr val="F9F7F3"/>
    </a:lt2>
    <a:accent1>
      <a:srgbClr val="A85229"/>
    </a:accent1>
    <a:accent2>
      <a:srgbClr val="98916E"/>
    </a:accent2>
    <a:accent3>
      <a:srgbClr val="C9A645"/>
    </a:accent3>
    <a:accent4>
      <a:srgbClr val="76A7B2"/>
    </a:accent4>
    <a:accent5>
      <a:srgbClr val="82A670"/>
    </a:accent5>
    <a:accent6>
      <a:srgbClr val="896170"/>
    </a:accent6>
    <a:hlink>
      <a:srgbClr val="A85229"/>
    </a:hlink>
    <a:folHlink>
      <a:srgbClr val="98916E"/>
    </a:folHlink>
  </a:clrScheme>
  <a:fontScheme name="Cambria">
    <a:majorFont>
      <a:latin typeface="Cambria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С. Гетман</dc:creator>
  <cp:keywords/>
  <dc:description/>
  <cp:lastModifiedBy>Игорь С. Гетман</cp:lastModifiedBy>
  <cp:revision>3</cp:revision>
  <dcterms:created xsi:type="dcterms:W3CDTF">2017-03-13T09:13:00Z</dcterms:created>
  <dcterms:modified xsi:type="dcterms:W3CDTF">2017-03-13T09:37:00Z</dcterms:modified>
</cp:coreProperties>
</file>